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7BA6" w14:textId="77777777" w:rsidR="00560FF3" w:rsidRDefault="00257ACB" w:rsidP="001B3D20">
      <w:pPr>
        <w:bidi/>
        <w:spacing w:after="0" w:line="240" w:lineRule="auto"/>
        <w:rPr>
          <w:rFonts w:cs="AF_Aseer"/>
          <w:sz w:val="42"/>
          <w:szCs w:val="42"/>
          <w:rtl/>
          <w:lang w:bidi="ar-QA"/>
        </w:rPr>
      </w:pPr>
      <w:r>
        <w:rPr>
          <w:rFonts w:cs="AF_Aseer"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A799B3" wp14:editId="68C06382">
                <wp:simplePos x="0" y="0"/>
                <wp:positionH relativeFrom="column">
                  <wp:posOffset>7043420</wp:posOffset>
                </wp:positionH>
                <wp:positionV relativeFrom="paragraph">
                  <wp:posOffset>-698500</wp:posOffset>
                </wp:positionV>
                <wp:extent cx="1130300" cy="963930"/>
                <wp:effectExtent l="0" t="0" r="12700" b="266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324A6" w14:textId="77777777" w:rsidR="00BF436D" w:rsidRPr="00A026B2" w:rsidRDefault="00D31802" w:rsidP="00A026B2">
                            <w:r w:rsidRPr="00997339">
                              <w:rPr>
                                <w:noProof/>
                              </w:rPr>
                              <w:drawing>
                                <wp:inline distT="0" distB="0" distL="0" distR="0" wp14:anchorId="29CC6776" wp14:editId="21A9D477">
                                  <wp:extent cx="622300" cy="868853"/>
                                  <wp:effectExtent l="0" t="0" r="6350" b="7620"/>
                                  <wp:docPr id="4" name="Picture 4" descr="Macintosh HD:Users:qsl:Desktop:QSL Logos:JPG:QSL_Logo_Port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qsl:Desktop:QSL Logos:JPG:QSL_Logo_Port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300" cy="868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56A04" w:rsidRPr="00997339">
                              <w:rPr>
                                <w:noProof/>
                              </w:rPr>
                              <w:drawing>
                                <wp:inline distT="0" distB="0" distL="0" distR="0" wp14:anchorId="0B488E5C" wp14:editId="798A0A94">
                                  <wp:extent cx="825500" cy="868853"/>
                                  <wp:effectExtent l="0" t="0" r="0" b="7620"/>
                                  <wp:docPr id="3" name="Picture 3" descr="Macintosh HD:Users:qsl:Desktop:QSL Logos:JPG:QSL_Logo_Port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qsl:Desktop:QSL Logos:JPG:QSL_Logo_Port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00" cy="868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799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54.6pt;margin-top:-55pt;width:89pt;height:75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" strokecolor="white [3212]">
                <v:textbox>
                  <w:txbxContent>
                    <w:p w14:paraId="60E324A6" w14:textId="77777777" w:rsidR="00BF436D" w:rsidRPr="00A026B2" w:rsidRDefault="00D31802" w:rsidP="00A026B2">
                      <w:r w:rsidRPr="00997339">
                        <w:rPr>
                          <w:noProof/>
                        </w:rPr>
                        <w:drawing>
                          <wp:inline distT="0" distB="0" distL="0" distR="0" wp14:anchorId="29CC6776" wp14:editId="21A9D477">
                            <wp:extent cx="622300" cy="868853"/>
                            <wp:effectExtent l="0" t="0" r="6350" b="7620"/>
                            <wp:docPr id="4" name="Picture 4" descr="Macintosh HD:Users:qsl:Desktop:QSL Logos:JPG:QSL_Logo_Port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qsl:Desktop:QSL Logos:JPG:QSL_Logo_Port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300" cy="868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56A04" w:rsidRPr="00997339">
                        <w:rPr>
                          <w:noProof/>
                        </w:rPr>
                        <w:drawing>
                          <wp:inline distT="0" distB="0" distL="0" distR="0" wp14:anchorId="0B488E5C" wp14:editId="798A0A94">
                            <wp:extent cx="825500" cy="868853"/>
                            <wp:effectExtent l="0" t="0" r="0" b="7620"/>
                            <wp:docPr id="3" name="Picture 3" descr="Macintosh HD:Users:qsl:Desktop:QSL Logos:JPG:QSL_Logo_Port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qsl:Desktop:QSL Logos:JPG:QSL_Logo_Port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00" cy="868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E83F56" w14:textId="77777777" w:rsidR="00560FF3" w:rsidRPr="000927CD" w:rsidRDefault="00560FF3" w:rsidP="00560FF3">
      <w:pPr>
        <w:bidi/>
        <w:spacing w:after="0" w:line="240" w:lineRule="auto"/>
        <w:rPr>
          <w:rFonts w:cs="AF_Aseer"/>
          <w:sz w:val="2"/>
          <w:szCs w:val="2"/>
          <w:rtl/>
          <w:lang w:bidi="ar-QA"/>
        </w:rPr>
      </w:pPr>
    </w:p>
    <w:p w14:paraId="6FD28A46" w14:textId="77777777" w:rsidR="001B3D20" w:rsidRPr="00BA450B" w:rsidRDefault="00D31802" w:rsidP="00560FF3">
      <w:pPr>
        <w:bidi/>
        <w:spacing w:after="0" w:line="240" w:lineRule="auto"/>
        <w:rPr>
          <w:rFonts w:cs="AF_Aseer"/>
          <w:b/>
          <w:bCs/>
          <w:sz w:val="28"/>
          <w:szCs w:val="28"/>
          <w:rtl/>
          <w:lang w:bidi="ar-QA"/>
        </w:rPr>
      </w:pPr>
      <w:r>
        <w:rPr>
          <w:rFonts w:cs="AF_Aseer" w:hint="cs"/>
          <w:b/>
          <w:bCs/>
          <w:sz w:val="28"/>
          <w:szCs w:val="28"/>
          <w:rtl/>
          <w:lang w:bidi="ar-QA"/>
        </w:rPr>
        <w:t xml:space="preserve">  </w:t>
      </w:r>
      <w:r w:rsidR="00AA128B" w:rsidRPr="00BA450B">
        <w:rPr>
          <w:rFonts w:cs="AF_Aseer" w:hint="cs"/>
          <w:b/>
          <w:bCs/>
          <w:sz w:val="28"/>
          <w:szCs w:val="28"/>
          <w:rtl/>
          <w:lang w:bidi="ar-QA"/>
        </w:rPr>
        <w:t>مؤسسة دوري نجوم قطر</w:t>
      </w:r>
    </w:p>
    <w:p w14:paraId="7B0F9CEE" w14:textId="77777777" w:rsidR="00635932" w:rsidRPr="00BA450B" w:rsidRDefault="00AA128B" w:rsidP="00D21B00">
      <w:pPr>
        <w:spacing w:after="0" w:line="240" w:lineRule="auto"/>
        <w:jc w:val="right"/>
        <w:rPr>
          <w:rFonts w:cs="AF_Aseer"/>
          <w:sz w:val="28"/>
          <w:szCs w:val="28"/>
          <w:rtl/>
          <w:lang w:bidi="ar-QA"/>
        </w:rPr>
      </w:pPr>
      <w:r w:rsidRPr="00BA450B">
        <w:rPr>
          <w:rFonts w:cs="AF_Aseer" w:hint="cs"/>
          <w:b/>
          <w:bCs/>
          <w:sz w:val="28"/>
          <w:szCs w:val="28"/>
          <w:rtl/>
          <w:lang w:bidi="ar-QA"/>
        </w:rPr>
        <w:t>لجنة المناقصات والمزايدات</w:t>
      </w:r>
      <w:r w:rsidR="00D31802">
        <w:rPr>
          <w:rFonts w:cs="AF_Aseer" w:hint="cs"/>
          <w:b/>
          <w:bCs/>
          <w:sz w:val="28"/>
          <w:szCs w:val="28"/>
          <w:rtl/>
          <w:lang w:bidi="ar-QA"/>
        </w:rPr>
        <w:t xml:space="preserve">  </w:t>
      </w:r>
    </w:p>
    <w:p w14:paraId="21046042" w14:textId="77777777" w:rsidR="00AA128B" w:rsidRPr="00BA450B" w:rsidRDefault="00D3299B" w:rsidP="001B3D20">
      <w:pPr>
        <w:jc w:val="center"/>
        <w:rPr>
          <w:rFonts w:cs="AF_Aseer"/>
          <w:b/>
          <w:bCs/>
          <w:i/>
          <w:iCs/>
          <w:sz w:val="28"/>
          <w:szCs w:val="28"/>
          <w:rtl/>
          <w:lang w:bidi="ar-QA"/>
        </w:rPr>
      </w:pPr>
      <w:r w:rsidRPr="00BA450B">
        <w:rPr>
          <w:rFonts w:cs="AF_Aseer"/>
          <w:b/>
          <w:bCs/>
          <w:i/>
          <w:iCs/>
          <w:sz w:val="28"/>
          <w:szCs w:val="28"/>
          <w:lang w:bidi="ar-QA"/>
        </w:rPr>
        <w:t>Tender Advertisement</w:t>
      </w:r>
    </w:p>
    <w:tbl>
      <w:tblPr>
        <w:tblStyle w:val="TableGrid"/>
        <w:tblW w:w="13892" w:type="dxa"/>
        <w:tblInd w:w="-176" w:type="dxa"/>
        <w:tblLook w:val="04A0" w:firstRow="1" w:lastRow="0" w:firstColumn="1" w:lastColumn="0" w:noHBand="0" w:noVBand="1"/>
      </w:tblPr>
      <w:tblGrid>
        <w:gridCol w:w="1702"/>
        <w:gridCol w:w="1417"/>
        <w:gridCol w:w="1560"/>
        <w:gridCol w:w="1152"/>
        <w:gridCol w:w="6783"/>
        <w:gridCol w:w="1278"/>
      </w:tblGrid>
      <w:tr w:rsidR="00F862C7" w:rsidRPr="004F1AB6" w14:paraId="77F4F5A9" w14:textId="77777777" w:rsidTr="00316B54">
        <w:trPr>
          <w:trHeight w:val="283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FED78F4" w14:textId="77777777" w:rsidR="00291CB4" w:rsidRPr="002216CC" w:rsidRDefault="001F60AA" w:rsidP="00291CB4">
            <w:pPr>
              <w:jc w:val="center"/>
              <w:rPr>
                <w:b/>
                <w:bCs/>
                <w:lang w:bidi="ar-QA"/>
              </w:rPr>
            </w:pPr>
            <w:r w:rsidRPr="002216CC">
              <w:rPr>
                <w:b/>
                <w:bCs/>
                <w:lang w:bidi="ar-QA"/>
              </w:rPr>
              <w:t>Closing date</w:t>
            </w:r>
          </w:p>
        </w:tc>
        <w:tc>
          <w:tcPr>
            <w:tcW w:w="1417" w:type="dxa"/>
            <w:tcBorders>
              <w:top w:val="double" w:sz="4" w:space="0" w:color="auto"/>
              <w:bottom w:val="nil"/>
            </w:tcBorders>
          </w:tcPr>
          <w:p w14:paraId="1445EC3B" w14:textId="77777777" w:rsidR="00291CB4" w:rsidRPr="002216CC" w:rsidRDefault="001F60AA" w:rsidP="00291CB4">
            <w:pPr>
              <w:jc w:val="center"/>
              <w:rPr>
                <w:b/>
                <w:bCs/>
                <w:lang w:bidi="ar-QA"/>
              </w:rPr>
            </w:pPr>
            <w:r w:rsidRPr="002216CC">
              <w:rPr>
                <w:b/>
                <w:bCs/>
                <w:lang w:bidi="ar-QA"/>
              </w:rPr>
              <w:t>Method of envelop presentation</w:t>
            </w:r>
          </w:p>
        </w:tc>
        <w:tc>
          <w:tcPr>
            <w:tcW w:w="1560" w:type="dxa"/>
            <w:tcBorders>
              <w:top w:val="double" w:sz="4" w:space="0" w:color="auto"/>
              <w:bottom w:val="nil"/>
            </w:tcBorders>
          </w:tcPr>
          <w:p w14:paraId="598440C4" w14:textId="77777777" w:rsidR="00291CB4" w:rsidRPr="002216CC" w:rsidRDefault="001F60AA" w:rsidP="00291CB4">
            <w:pPr>
              <w:jc w:val="center"/>
              <w:rPr>
                <w:b/>
                <w:bCs/>
                <w:lang w:bidi="ar-QA"/>
              </w:rPr>
            </w:pPr>
            <w:r w:rsidRPr="002216CC">
              <w:rPr>
                <w:b/>
                <w:bCs/>
                <w:lang w:bidi="ar-QA"/>
              </w:rPr>
              <w:t>Document Fees</w:t>
            </w:r>
          </w:p>
        </w:tc>
        <w:tc>
          <w:tcPr>
            <w:tcW w:w="1152" w:type="dxa"/>
            <w:tcBorders>
              <w:top w:val="double" w:sz="4" w:space="0" w:color="auto"/>
              <w:bottom w:val="nil"/>
            </w:tcBorders>
          </w:tcPr>
          <w:p w14:paraId="41B574EC" w14:textId="77777777" w:rsidR="00291CB4" w:rsidRPr="002216CC" w:rsidRDefault="001F60AA" w:rsidP="00291CB4">
            <w:pPr>
              <w:jc w:val="center"/>
              <w:rPr>
                <w:b/>
                <w:bCs/>
                <w:lang w:bidi="ar-QA"/>
              </w:rPr>
            </w:pPr>
            <w:r w:rsidRPr="002216CC">
              <w:rPr>
                <w:b/>
                <w:bCs/>
                <w:lang w:bidi="ar-QA"/>
              </w:rPr>
              <w:t>tender bond</w:t>
            </w:r>
          </w:p>
        </w:tc>
        <w:tc>
          <w:tcPr>
            <w:tcW w:w="6783" w:type="dxa"/>
            <w:vMerge w:val="restart"/>
            <w:tcBorders>
              <w:top w:val="double" w:sz="4" w:space="0" w:color="auto"/>
            </w:tcBorders>
            <w:vAlign w:val="center"/>
          </w:tcPr>
          <w:p w14:paraId="695353C7" w14:textId="77777777" w:rsidR="00291CB4" w:rsidRPr="002216CC" w:rsidRDefault="001F60AA" w:rsidP="00291CB4">
            <w:pPr>
              <w:jc w:val="center"/>
              <w:rPr>
                <w:b/>
                <w:bCs/>
                <w:lang w:bidi="ar-QA"/>
              </w:rPr>
            </w:pPr>
            <w:r w:rsidRPr="002216CC">
              <w:rPr>
                <w:b/>
                <w:bCs/>
                <w:lang w:bidi="ar-QA"/>
              </w:rPr>
              <w:t>Subject</w:t>
            </w:r>
          </w:p>
        </w:tc>
        <w:tc>
          <w:tcPr>
            <w:tcW w:w="127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C1F586" w14:textId="77777777" w:rsidR="00291CB4" w:rsidRPr="002216CC" w:rsidRDefault="001F60AA" w:rsidP="00291CB4">
            <w:pPr>
              <w:jc w:val="center"/>
              <w:rPr>
                <w:b/>
                <w:bCs/>
                <w:lang w:bidi="ar-QA"/>
              </w:rPr>
            </w:pPr>
            <w:r w:rsidRPr="002216CC">
              <w:rPr>
                <w:b/>
                <w:bCs/>
                <w:lang w:bidi="ar-QA"/>
              </w:rPr>
              <w:t>Tender number</w:t>
            </w:r>
          </w:p>
        </w:tc>
      </w:tr>
      <w:tr w:rsidR="00F862C7" w:rsidRPr="004F1AB6" w14:paraId="680FE26A" w14:textId="77777777" w:rsidTr="00316B54">
        <w:trPr>
          <w:trHeight w:val="70"/>
        </w:trPr>
        <w:tc>
          <w:tcPr>
            <w:tcW w:w="1702" w:type="dxa"/>
            <w:vMerge/>
            <w:tcBorders>
              <w:left w:val="double" w:sz="4" w:space="0" w:color="auto"/>
            </w:tcBorders>
          </w:tcPr>
          <w:p w14:paraId="0B814863" w14:textId="77777777" w:rsidR="00291CB4" w:rsidRPr="002216CC" w:rsidRDefault="00291CB4" w:rsidP="00291CB4">
            <w:pPr>
              <w:jc w:val="center"/>
              <w:rPr>
                <w:b/>
                <w:bCs/>
                <w:lang w:bidi="ar-QA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9C2B855" w14:textId="77777777" w:rsidR="00291CB4" w:rsidRPr="002216CC" w:rsidRDefault="00291CB4" w:rsidP="001F60AA">
            <w:pPr>
              <w:jc w:val="center"/>
              <w:rPr>
                <w:b/>
                <w:bCs/>
                <w:rtl/>
                <w:lang w:bidi="ar-QA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 w:themeColor="text1"/>
            </w:tcBorders>
          </w:tcPr>
          <w:p w14:paraId="3E2681D3" w14:textId="77777777" w:rsidR="00291CB4" w:rsidRPr="002216CC" w:rsidRDefault="00291CB4" w:rsidP="00291CB4">
            <w:pPr>
              <w:jc w:val="center"/>
              <w:rPr>
                <w:b/>
                <w:bCs/>
                <w:lang w:bidi="ar-QA"/>
              </w:rPr>
            </w:pPr>
            <w:r w:rsidRPr="002216CC">
              <w:rPr>
                <w:rFonts w:hint="cs"/>
                <w:b/>
                <w:bCs/>
                <w:rtl/>
                <w:lang w:bidi="ar-QA"/>
              </w:rPr>
              <w:t>)</w:t>
            </w:r>
            <w:r w:rsidR="001F60AA" w:rsidRPr="002216CC">
              <w:rPr>
                <w:b/>
                <w:bCs/>
                <w:lang w:bidi="ar-QA"/>
              </w:rPr>
              <w:t xml:space="preserve"> QR)</w:t>
            </w:r>
          </w:p>
        </w:tc>
        <w:tc>
          <w:tcPr>
            <w:tcW w:w="1152" w:type="dxa"/>
            <w:tcBorders>
              <w:top w:val="nil"/>
            </w:tcBorders>
          </w:tcPr>
          <w:p w14:paraId="664F59AF" w14:textId="77777777" w:rsidR="00291CB4" w:rsidRPr="002216CC" w:rsidRDefault="001F60AA" w:rsidP="001F60AA">
            <w:pPr>
              <w:jc w:val="center"/>
              <w:rPr>
                <w:b/>
                <w:bCs/>
                <w:lang w:bidi="ar-QA"/>
              </w:rPr>
            </w:pPr>
            <w:r w:rsidRPr="002216CC">
              <w:rPr>
                <w:b/>
                <w:bCs/>
                <w:lang w:bidi="ar-QA"/>
              </w:rPr>
              <w:t>(QR)</w:t>
            </w:r>
          </w:p>
        </w:tc>
        <w:tc>
          <w:tcPr>
            <w:tcW w:w="6783" w:type="dxa"/>
            <w:vMerge/>
          </w:tcPr>
          <w:p w14:paraId="0D308D35" w14:textId="77777777" w:rsidR="00291CB4" w:rsidRPr="002216CC" w:rsidRDefault="00291CB4" w:rsidP="00291CB4">
            <w:pPr>
              <w:jc w:val="center"/>
              <w:rPr>
                <w:b/>
                <w:bCs/>
                <w:lang w:bidi="ar-QA"/>
              </w:rPr>
            </w:pPr>
          </w:p>
        </w:tc>
        <w:tc>
          <w:tcPr>
            <w:tcW w:w="1278" w:type="dxa"/>
            <w:vMerge/>
            <w:tcBorders>
              <w:right w:val="double" w:sz="4" w:space="0" w:color="auto"/>
            </w:tcBorders>
          </w:tcPr>
          <w:p w14:paraId="1AA5DCAF" w14:textId="77777777" w:rsidR="00291CB4" w:rsidRPr="002216CC" w:rsidRDefault="00291CB4" w:rsidP="00291CB4">
            <w:pPr>
              <w:jc w:val="center"/>
              <w:rPr>
                <w:b/>
                <w:bCs/>
                <w:rtl/>
                <w:lang w:bidi="ar-QA"/>
              </w:rPr>
            </w:pPr>
          </w:p>
        </w:tc>
      </w:tr>
      <w:tr w:rsidR="00F862C7" w:rsidRPr="004F1AB6" w14:paraId="095F6DDD" w14:textId="77777777" w:rsidTr="00316B54">
        <w:trPr>
          <w:trHeight w:val="800"/>
        </w:trPr>
        <w:tc>
          <w:tcPr>
            <w:tcW w:w="17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6DE93B" w14:textId="6D4D7FA5" w:rsidR="00C5784E" w:rsidRPr="002216CC" w:rsidRDefault="00DA7783" w:rsidP="00DA18A9">
            <w:pPr>
              <w:jc w:val="center"/>
              <w:rPr>
                <w:b/>
                <w:bCs/>
                <w:rtl/>
                <w:lang w:bidi="ar-QA"/>
              </w:rPr>
            </w:pPr>
            <w:r>
              <w:rPr>
                <w:rFonts w:hint="cs"/>
                <w:b/>
                <w:bCs/>
                <w:rtl/>
                <w:lang w:bidi="ar-QA"/>
              </w:rPr>
              <w:t>16</w:t>
            </w:r>
            <w:r w:rsidR="00B96488">
              <w:rPr>
                <w:b/>
                <w:bCs/>
                <w:lang w:bidi="ar-QA"/>
              </w:rPr>
              <w:t>/</w:t>
            </w:r>
            <w:r>
              <w:rPr>
                <w:rFonts w:hint="cs"/>
                <w:b/>
                <w:bCs/>
                <w:rtl/>
                <w:lang w:bidi="ar-QA"/>
              </w:rPr>
              <w:t>10</w:t>
            </w:r>
            <w:r w:rsidR="00B96488">
              <w:rPr>
                <w:b/>
                <w:bCs/>
                <w:lang w:bidi="ar-QA"/>
              </w:rPr>
              <w:t>/</w:t>
            </w:r>
            <w:r w:rsidR="007A69BF">
              <w:rPr>
                <w:rFonts w:hint="cs"/>
                <w:b/>
                <w:bCs/>
                <w:rtl/>
                <w:lang w:bidi="ar-QA"/>
              </w:rPr>
              <w:t>2024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4799456A" w14:textId="77777777" w:rsidR="00115128" w:rsidRPr="002216CC" w:rsidRDefault="001F60AA" w:rsidP="00AC0A6F">
            <w:pPr>
              <w:jc w:val="center"/>
              <w:rPr>
                <w:b/>
                <w:bCs/>
                <w:rtl/>
                <w:lang w:bidi="ar-QA"/>
              </w:rPr>
            </w:pPr>
            <w:r w:rsidRPr="002216CC">
              <w:rPr>
                <w:b/>
                <w:bCs/>
                <w:lang w:bidi="ar-QA"/>
              </w:rPr>
              <w:t xml:space="preserve">2 </w:t>
            </w:r>
            <w:proofErr w:type="gramStart"/>
            <w:r w:rsidRPr="002216CC">
              <w:rPr>
                <w:b/>
                <w:bCs/>
                <w:lang w:bidi="ar-QA"/>
              </w:rPr>
              <w:t xml:space="preserve">envelopes </w:t>
            </w:r>
            <w:r w:rsidR="009E253C" w:rsidRPr="002216CC">
              <w:rPr>
                <w:rFonts w:hint="cs"/>
                <w:b/>
                <w:bCs/>
                <w:rtl/>
                <w:lang w:bidi="ar-QA"/>
              </w:rPr>
              <w:t>)</w:t>
            </w:r>
            <w:r w:rsidRPr="002216CC">
              <w:rPr>
                <w:b/>
                <w:bCs/>
                <w:lang w:bidi="ar-QA"/>
              </w:rPr>
              <w:t>technical</w:t>
            </w:r>
            <w:proofErr w:type="gramEnd"/>
            <w:r w:rsidRPr="002216CC">
              <w:rPr>
                <w:b/>
                <w:bCs/>
                <w:lang w:bidi="ar-QA"/>
              </w:rPr>
              <w:t xml:space="preserve"> and financial</w:t>
            </w:r>
            <w:r w:rsidR="009E253C" w:rsidRPr="002216CC">
              <w:rPr>
                <w:b/>
                <w:bCs/>
                <w:lang w:bidi="ar-Q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14:paraId="5E08CA33" w14:textId="77777777" w:rsidR="00C5784E" w:rsidRPr="002216CC" w:rsidRDefault="00BF436D" w:rsidP="001B3D20">
            <w:pPr>
              <w:jc w:val="center"/>
              <w:rPr>
                <w:b/>
                <w:bCs/>
                <w:lang w:bidi="ar-QA"/>
              </w:rPr>
            </w:pPr>
            <w:r>
              <w:rPr>
                <w:b/>
                <w:bCs/>
                <w:lang w:bidi="ar-QA"/>
              </w:rPr>
              <w:t>500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14:paraId="1241E670" w14:textId="6BAE4BB1" w:rsidR="00C5784E" w:rsidRPr="002216CC" w:rsidRDefault="00DA7783" w:rsidP="00594385">
            <w:pPr>
              <w:jc w:val="center"/>
              <w:rPr>
                <w:b/>
                <w:bCs/>
                <w:rtl/>
                <w:lang w:bidi="ar-QA"/>
              </w:rPr>
            </w:pPr>
            <w:r>
              <w:rPr>
                <w:rFonts w:hint="cs"/>
                <w:b/>
                <w:bCs/>
                <w:rtl/>
                <w:lang w:bidi="ar-QA"/>
              </w:rPr>
              <w:t>20000</w:t>
            </w:r>
          </w:p>
        </w:tc>
        <w:tc>
          <w:tcPr>
            <w:tcW w:w="6783" w:type="dxa"/>
            <w:tcBorders>
              <w:bottom w:val="double" w:sz="4" w:space="0" w:color="auto"/>
            </w:tcBorders>
            <w:vAlign w:val="center"/>
          </w:tcPr>
          <w:p w14:paraId="05321D59" w14:textId="3157BEC2" w:rsidR="00C5784E" w:rsidRPr="00FC25B8" w:rsidRDefault="00DA7783" w:rsidP="00034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Civil/Fit out works – QSLM New Headquarters (Iconic Building 2022)</w:t>
            </w:r>
          </w:p>
        </w:tc>
        <w:tc>
          <w:tcPr>
            <w:tcW w:w="12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9C9DD2" w14:textId="3BBB1E96" w:rsidR="00C5784E" w:rsidRPr="002216CC" w:rsidRDefault="00DA7783" w:rsidP="00DA18A9">
            <w:pPr>
              <w:jc w:val="center"/>
              <w:rPr>
                <w:b/>
                <w:bCs/>
                <w:lang w:bidi="ar-QA"/>
              </w:rPr>
            </w:pPr>
            <w:r>
              <w:rPr>
                <w:rFonts w:hint="cs"/>
                <w:b/>
                <w:bCs/>
                <w:rtl/>
                <w:lang w:bidi="ar-QA"/>
              </w:rPr>
              <w:t>12</w:t>
            </w:r>
            <w:r w:rsidR="00F528A2">
              <w:rPr>
                <w:b/>
                <w:bCs/>
                <w:lang w:bidi="ar-QA"/>
              </w:rPr>
              <w:t>/</w:t>
            </w:r>
            <w:r w:rsidR="007A69BF">
              <w:rPr>
                <w:rFonts w:hint="cs"/>
                <w:b/>
                <w:bCs/>
                <w:rtl/>
                <w:lang w:bidi="ar-QA"/>
              </w:rPr>
              <w:t>2024</w:t>
            </w:r>
          </w:p>
        </w:tc>
      </w:tr>
    </w:tbl>
    <w:p w14:paraId="2D067268" w14:textId="77777777" w:rsidR="00C5784E" w:rsidRPr="00635932" w:rsidRDefault="00C5784E" w:rsidP="00A1370A">
      <w:pPr>
        <w:jc w:val="right"/>
        <w:rPr>
          <w:sz w:val="2"/>
          <w:szCs w:val="2"/>
          <w:rtl/>
          <w:lang w:bidi="ar-QA"/>
        </w:rPr>
      </w:pPr>
    </w:p>
    <w:p w14:paraId="6B5FBF51" w14:textId="77777777" w:rsidR="00A1370A" w:rsidRPr="00BA450B" w:rsidRDefault="00A1370A" w:rsidP="007F27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bidi="ar-QA"/>
        </w:rPr>
      </w:pPr>
      <w:r w:rsidRPr="00BA450B">
        <w:rPr>
          <w:rFonts w:ascii="Arial" w:hAnsi="Arial" w:cs="Arial"/>
          <w:b/>
          <w:bCs/>
          <w:sz w:val="18"/>
          <w:szCs w:val="18"/>
          <w:lang w:bidi="ar-QA"/>
        </w:rPr>
        <w:t>Please note that you can obtain a copy of the documents related to the Te</w:t>
      </w:r>
      <w:r w:rsidR="007F277F">
        <w:rPr>
          <w:rFonts w:ascii="Arial" w:hAnsi="Arial" w:cs="Arial"/>
          <w:b/>
          <w:bCs/>
          <w:sz w:val="18"/>
          <w:szCs w:val="18"/>
          <w:lang w:bidi="ar-QA"/>
        </w:rPr>
        <w:t>nder in question during our working hours.</w:t>
      </w:r>
    </w:p>
    <w:p w14:paraId="533B87D3" w14:textId="77777777" w:rsidR="00A1370A" w:rsidRPr="00BA450B" w:rsidRDefault="00A1370A" w:rsidP="001E1B30">
      <w:pPr>
        <w:pStyle w:val="ListParagraph"/>
        <w:ind w:left="1125"/>
        <w:jc w:val="both"/>
        <w:rPr>
          <w:rFonts w:ascii="Arial" w:hAnsi="Arial" w:cs="Arial"/>
          <w:b/>
          <w:bCs/>
          <w:sz w:val="18"/>
          <w:szCs w:val="18"/>
          <w:lang w:bidi="ar-QA"/>
        </w:rPr>
      </w:pP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Please deposit the </w:t>
      </w:r>
      <w:r w:rsidR="00CF5897" w:rsidRPr="00BA450B">
        <w:rPr>
          <w:rFonts w:ascii="Arial" w:hAnsi="Arial" w:cs="Arial"/>
          <w:b/>
          <w:bCs/>
          <w:sz w:val="18"/>
          <w:szCs w:val="18"/>
          <w:lang w:bidi="ar-QA"/>
        </w:rPr>
        <w:t>amount related to the tender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in QSL</w:t>
      </w:r>
      <w:r w:rsidR="00CF5897" w:rsidRPr="00BA450B">
        <w:rPr>
          <w:rFonts w:ascii="Arial" w:hAnsi="Arial" w:cs="Arial"/>
          <w:b/>
          <w:bCs/>
          <w:sz w:val="18"/>
          <w:szCs w:val="18"/>
          <w:lang w:bidi="ar-QA"/>
        </w:rPr>
        <w:t>’s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account number </w:t>
      </w:r>
      <w:r w:rsidR="004D2AA3">
        <w:rPr>
          <w:rFonts w:ascii="Arial" w:hAnsi="Arial" w:cs="Arial"/>
          <w:b/>
          <w:bCs/>
          <w:sz w:val="18"/>
          <w:szCs w:val="18"/>
          <w:lang w:bidi="ar-QA"/>
        </w:rPr>
        <w:t>(</w:t>
      </w:r>
      <w:r w:rsidR="001E1B30" w:rsidRPr="001E1B30">
        <w:rPr>
          <w:b/>
          <w:bCs/>
        </w:rPr>
        <w:t>QA29QNBA000000000013027075001</w:t>
      </w:r>
      <w:r w:rsidR="004D2AA3">
        <w:rPr>
          <w:rFonts w:ascii="Arial" w:hAnsi="Arial" w:cs="Arial"/>
          <w:b/>
          <w:bCs/>
          <w:sz w:val="18"/>
          <w:szCs w:val="18"/>
          <w:lang w:bidi="ar-QA"/>
        </w:rPr>
        <w:t xml:space="preserve">) </w:t>
      </w:r>
      <w:r w:rsidRPr="00BA450B">
        <w:rPr>
          <w:rFonts w:ascii="Arial" w:hAnsi="Arial" w:cs="Arial"/>
          <w:b/>
          <w:bCs/>
          <w:sz w:val="18"/>
          <w:szCs w:val="18"/>
        </w:rPr>
        <w:t xml:space="preserve">in </w:t>
      </w:r>
      <w:r w:rsidR="00070E5C">
        <w:rPr>
          <w:rFonts w:ascii="Arial" w:hAnsi="Arial" w:cs="Arial"/>
          <w:b/>
          <w:bCs/>
          <w:sz w:val="18"/>
          <w:szCs w:val="18"/>
        </w:rPr>
        <w:t>QNB</w:t>
      </w:r>
      <w:r w:rsidRPr="00BA450B">
        <w:rPr>
          <w:rFonts w:ascii="Arial" w:hAnsi="Arial" w:cs="Arial"/>
          <w:b/>
          <w:bCs/>
          <w:sz w:val="18"/>
          <w:szCs w:val="18"/>
        </w:rPr>
        <w:t xml:space="preserve"> as well as a copy of the commercial certificate</w:t>
      </w:r>
      <w:r w:rsidR="00EE6A48" w:rsidRPr="00BA450B">
        <w:rPr>
          <w:rFonts w:ascii="Arial" w:hAnsi="Arial" w:cs="Arial"/>
          <w:b/>
          <w:bCs/>
          <w:sz w:val="18"/>
          <w:szCs w:val="18"/>
        </w:rPr>
        <w:t xml:space="preserve">. </w:t>
      </w:r>
      <w:r w:rsidR="007F277F" w:rsidRPr="00BA450B">
        <w:rPr>
          <w:rFonts w:ascii="Arial" w:hAnsi="Arial" w:cs="Arial"/>
          <w:b/>
          <w:bCs/>
          <w:sz w:val="18"/>
          <w:szCs w:val="18"/>
        </w:rPr>
        <w:t>Moreover</w:t>
      </w:r>
      <w:r w:rsidR="007F277F">
        <w:rPr>
          <w:rFonts w:ascii="Arial" w:hAnsi="Arial" w:cs="Arial"/>
          <w:b/>
          <w:bCs/>
          <w:sz w:val="18"/>
          <w:szCs w:val="18"/>
        </w:rPr>
        <w:t>,</w:t>
      </w:r>
      <w:r w:rsidRPr="00BA450B">
        <w:rPr>
          <w:rFonts w:ascii="Arial" w:hAnsi="Arial" w:cs="Arial"/>
          <w:b/>
          <w:bCs/>
          <w:sz w:val="18"/>
          <w:szCs w:val="18"/>
        </w:rPr>
        <w:t xml:space="preserve"> </w:t>
      </w:r>
      <w:r w:rsidR="00CF5897" w:rsidRPr="00BA450B">
        <w:rPr>
          <w:rFonts w:ascii="Arial" w:hAnsi="Arial" w:cs="Arial"/>
          <w:b/>
          <w:bCs/>
          <w:sz w:val="18"/>
          <w:szCs w:val="18"/>
        </w:rPr>
        <w:t xml:space="preserve">note that </w:t>
      </w:r>
      <w:r w:rsidR="00534CDF" w:rsidRPr="00BA450B">
        <w:rPr>
          <w:rFonts w:ascii="Arial" w:hAnsi="Arial" w:cs="Arial"/>
          <w:b/>
          <w:bCs/>
          <w:sz w:val="18"/>
          <w:szCs w:val="18"/>
        </w:rPr>
        <w:t>the official</w:t>
      </w:r>
      <w:r w:rsidRPr="00BA450B">
        <w:rPr>
          <w:rFonts w:ascii="Arial" w:hAnsi="Arial" w:cs="Arial"/>
          <w:b/>
          <w:bCs/>
          <w:sz w:val="18"/>
          <w:szCs w:val="18"/>
        </w:rPr>
        <w:t xml:space="preserve"> letter of your company </w:t>
      </w:r>
      <w:r w:rsidR="00534CDF" w:rsidRPr="00BA450B">
        <w:rPr>
          <w:rFonts w:ascii="Arial" w:hAnsi="Arial" w:cs="Arial"/>
          <w:b/>
          <w:bCs/>
          <w:sz w:val="18"/>
          <w:szCs w:val="18"/>
        </w:rPr>
        <w:t xml:space="preserve">must </w:t>
      </w:r>
      <w:proofErr w:type="gramStart"/>
      <w:r w:rsidR="00534CDF" w:rsidRPr="00BA450B">
        <w:rPr>
          <w:rFonts w:ascii="Arial" w:hAnsi="Arial" w:cs="Arial"/>
          <w:b/>
          <w:bCs/>
          <w:sz w:val="18"/>
          <w:szCs w:val="18"/>
        </w:rPr>
        <w:t>state clearly</w:t>
      </w:r>
      <w:proofErr w:type="gramEnd"/>
      <w:r w:rsidRPr="00BA450B">
        <w:rPr>
          <w:rFonts w:ascii="Arial" w:hAnsi="Arial" w:cs="Arial"/>
          <w:b/>
          <w:bCs/>
          <w:sz w:val="18"/>
          <w:szCs w:val="18"/>
        </w:rPr>
        <w:t xml:space="preserve"> the name of the person </w:t>
      </w:r>
      <w:r w:rsidR="00EE6A48" w:rsidRPr="00BA450B">
        <w:rPr>
          <w:rFonts w:ascii="Arial" w:hAnsi="Arial" w:cs="Arial"/>
          <w:b/>
          <w:bCs/>
          <w:sz w:val="18"/>
          <w:szCs w:val="18"/>
        </w:rPr>
        <w:t xml:space="preserve">who represents the company and </w:t>
      </w:r>
      <w:r w:rsidRPr="00BA450B">
        <w:rPr>
          <w:rFonts w:ascii="Arial" w:hAnsi="Arial" w:cs="Arial"/>
          <w:b/>
          <w:bCs/>
          <w:sz w:val="18"/>
          <w:szCs w:val="18"/>
        </w:rPr>
        <w:t>who is in charge of receiving the tender</w:t>
      </w:r>
      <w:r w:rsidR="00EE6A48" w:rsidRPr="00BA450B">
        <w:rPr>
          <w:rFonts w:ascii="Arial" w:hAnsi="Arial" w:cs="Arial"/>
          <w:b/>
          <w:bCs/>
          <w:sz w:val="18"/>
          <w:szCs w:val="18"/>
        </w:rPr>
        <w:t xml:space="preserve"> documents. The letter on behalf of the company must state the tender reference number and the willingness to be part of the tender.</w:t>
      </w:r>
    </w:p>
    <w:p w14:paraId="2DD69E2B" w14:textId="77777777" w:rsidR="008010E1" w:rsidRPr="00BA450B" w:rsidRDefault="003872B8" w:rsidP="007F27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bidi="ar-QA"/>
        </w:rPr>
      </w:pP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Each proposal must include a primary performance bond and a letter of </w:t>
      </w:r>
      <w:r w:rsidR="007F277F">
        <w:rPr>
          <w:rFonts w:ascii="Arial" w:hAnsi="Arial" w:cs="Arial"/>
          <w:b/>
          <w:bCs/>
          <w:sz w:val="18"/>
          <w:szCs w:val="18"/>
          <w:lang w:bidi="ar-QA"/>
        </w:rPr>
        <w:t>the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guarantee for a period of 120 days</w:t>
      </w:r>
      <w:r w:rsidR="00534CDF" w:rsidRPr="00BA450B">
        <w:rPr>
          <w:rFonts w:ascii="Arial" w:hAnsi="Arial" w:cs="Arial"/>
          <w:b/>
          <w:bCs/>
          <w:sz w:val="18"/>
          <w:szCs w:val="18"/>
          <w:lang w:bidi="ar-QA"/>
        </w:rPr>
        <w:t>. This performance bond must be from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any bank recognized by the state of Qatar. Please note that no proposal </w:t>
      </w:r>
      <w:r w:rsidR="00534CDF" w:rsidRPr="00BA450B">
        <w:rPr>
          <w:rFonts w:ascii="Arial" w:hAnsi="Arial" w:cs="Arial"/>
          <w:b/>
          <w:bCs/>
          <w:sz w:val="18"/>
          <w:szCs w:val="18"/>
          <w:lang w:bidi="ar-QA"/>
        </w:rPr>
        <w:t>will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be taken into consideration without the performance bond</w:t>
      </w:r>
      <w:r w:rsidR="00534CDF" w:rsidRPr="00BA450B">
        <w:rPr>
          <w:rFonts w:ascii="Arial" w:hAnsi="Arial" w:cs="Arial"/>
          <w:b/>
          <w:bCs/>
          <w:sz w:val="18"/>
          <w:szCs w:val="18"/>
          <w:lang w:bidi="ar-QA"/>
        </w:rPr>
        <w:t>.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</w:t>
      </w:r>
      <w:r w:rsidR="00534CDF" w:rsidRPr="00BA450B">
        <w:rPr>
          <w:rFonts w:ascii="Arial" w:hAnsi="Arial" w:cs="Arial"/>
          <w:b/>
          <w:bCs/>
          <w:sz w:val="18"/>
          <w:szCs w:val="18"/>
          <w:lang w:bidi="ar-QA"/>
        </w:rPr>
        <w:t>(A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copy</w:t>
      </w:r>
      <w:r w:rsidR="00534CDF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of the performance bond must be 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available in the technical proposal as </w:t>
      </w:r>
      <w:r w:rsidR="00534CDF" w:rsidRPr="00BA450B">
        <w:rPr>
          <w:rFonts w:ascii="Arial" w:hAnsi="Arial" w:cs="Arial"/>
          <w:b/>
          <w:bCs/>
          <w:sz w:val="18"/>
          <w:szCs w:val="18"/>
          <w:lang w:bidi="ar-QA"/>
        </w:rPr>
        <w:t>w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>ell</w:t>
      </w:r>
      <w:r w:rsidR="00D3299B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). </w:t>
      </w:r>
      <w:r w:rsidR="00534CDF" w:rsidRPr="00BA450B">
        <w:rPr>
          <w:rFonts w:ascii="Arial" w:hAnsi="Arial" w:cs="Arial"/>
          <w:b/>
          <w:bCs/>
          <w:sz w:val="18"/>
          <w:szCs w:val="18"/>
          <w:lang w:bidi="ar-QA"/>
        </w:rPr>
        <w:t>The performance bond must be valid for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90 days </w:t>
      </w:r>
      <w:r w:rsidR="00D3299B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starting from the day the envelopes are </w:t>
      </w:r>
      <w:r w:rsidR="007F277F" w:rsidRPr="00BA450B">
        <w:rPr>
          <w:rFonts w:ascii="Arial" w:hAnsi="Arial" w:cs="Arial"/>
          <w:b/>
          <w:bCs/>
          <w:sz w:val="18"/>
          <w:szCs w:val="18"/>
          <w:lang w:bidi="ar-QA"/>
        </w:rPr>
        <w:t>opened</w:t>
      </w:r>
      <w:r w:rsidR="007F277F">
        <w:rPr>
          <w:rFonts w:ascii="Arial" w:hAnsi="Arial" w:cs="Arial"/>
          <w:b/>
          <w:bCs/>
          <w:sz w:val="18"/>
          <w:szCs w:val="18"/>
          <w:lang w:bidi="ar-QA"/>
        </w:rPr>
        <w:t>. Also note that this performance bond will be returned to all companies once the tender is completed.</w:t>
      </w:r>
    </w:p>
    <w:p w14:paraId="1D7E9C68" w14:textId="77777777" w:rsidR="008010E1" w:rsidRPr="00BA450B" w:rsidRDefault="008010E1" w:rsidP="00D3299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bidi="ar-QA"/>
        </w:rPr>
      </w:pP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A final performance bond of 10% from the final amount of the contract must be presented and must be valid for </w:t>
      </w:r>
      <w:r w:rsidR="007359C8">
        <w:rPr>
          <w:rFonts w:ascii="Arial" w:hAnsi="Arial" w:cs="Arial"/>
          <w:b/>
          <w:bCs/>
          <w:sz w:val="18"/>
          <w:szCs w:val="18"/>
          <w:lang w:bidi="ar-QA"/>
        </w:rPr>
        <w:t>a duration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of 90 days after the completion of work, and that is 15 days after the acceptance letter. </w:t>
      </w:r>
      <w:r w:rsidR="003872B8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     </w:t>
      </w:r>
    </w:p>
    <w:p w14:paraId="1D4311E2" w14:textId="77777777" w:rsidR="00883F2D" w:rsidRDefault="00D3299B" w:rsidP="00E6229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bidi="ar-QA"/>
        </w:rPr>
      </w:pPr>
      <w:r w:rsidRPr="00BA450B">
        <w:rPr>
          <w:rFonts w:ascii="Arial" w:hAnsi="Arial" w:cs="Arial"/>
          <w:b/>
          <w:bCs/>
          <w:sz w:val="18"/>
          <w:szCs w:val="18"/>
          <w:lang w:bidi="ar-QA"/>
        </w:rPr>
        <w:t>P</w:t>
      </w:r>
      <w:r w:rsidR="008010E1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lace the proposal in the tender Box of QSL. The office is 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>located</w:t>
      </w:r>
      <w:r w:rsidR="008010E1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in </w:t>
      </w:r>
      <w:r w:rsidR="00E62291">
        <w:rPr>
          <w:rFonts w:ascii="Arial" w:hAnsi="Arial" w:cs="Arial"/>
          <w:b/>
          <w:bCs/>
          <w:sz w:val="18"/>
          <w:szCs w:val="18"/>
          <w:lang w:bidi="ar-QA"/>
        </w:rPr>
        <w:t xml:space="preserve">al </w:t>
      </w:r>
      <w:proofErr w:type="spellStart"/>
      <w:r w:rsidR="00E62291">
        <w:rPr>
          <w:rFonts w:ascii="Arial" w:hAnsi="Arial" w:cs="Arial"/>
          <w:b/>
          <w:bCs/>
          <w:sz w:val="18"/>
          <w:szCs w:val="18"/>
          <w:lang w:bidi="ar-QA"/>
        </w:rPr>
        <w:t>bi</w:t>
      </w:r>
      <w:r w:rsidR="007F277F">
        <w:rPr>
          <w:rFonts w:ascii="Arial" w:hAnsi="Arial" w:cs="Arial"/>
          <w:b/>
          <w:bCs/>
          <w:sz w:val="18"/>
          <w:szCs w:val="18"/>
          <w:lang w:bidi="ar-QA"/>
        </w:rPr>
        <w:t>d</w:t>
      </w:r>
      <w:r w:rsidR="00FA4E7D">
        <w:rPr>
          <w:rFonts w:ascii="Arial" w:hAnsi="Arial" w:cs="Arial"/>
          <w:b/>
          <w:bCs/>
          <w:sz w:val="18"/>
          <w:szCs w:val="18"/>
          <w:lang w:bidi="ar-QA"/>
        </w:rPr>
        <w:t>da</w:t>
      </w:r>
      <w:proofErr w:type="spellEnd"/>
      <w:r w:rsidR="00FA4E7D">
        <w:rPr>
          <w:rFonts w:ascii="Arial" w:hAnsi="Arial" w:cs="Arial"/>
          <w:b/>
          <w:bCs/>
          <w:sz w:val="18"/>
          <w:szCs w:val="18"/>
          <w:lang w:bidi="ar-QA"/>
        </w:rPr>
        <w:t xml:space="preserve"> tower</w:t>
      </w:r>
      <w:r w:rsidR="008010E1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in the Dafna region </w:t>
      </w:r>
      <w:r w:rsidR="00CF5897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on the </w:t>
      </w:r>
      <w:r w:rsidR="007F277F">
        <w:rPr>
          <w:rFonts w:ascii="Arial" w:hAnsi="Arial" w:cs="Arial"/>
          <w:b/>
          <w:bCs/>
          <w:sz w:val="18"/>
          <w:szCs w:val="18"/>
          <w:lang w:bidi="ar-QA"/>
        </w:rPr>
        <w:t>23</w:t>
      </w:r>
      <w:r w:rsidR="00CF5897" w:rsidRPr="00BA450B">
        <w:rPr>
          <w:rFonts w:ascii="Arial" w:hAnsi="Arial" w:cs="Arial"/>
          <w:b/>
          <w:bCs/>
          <w:sz w:val="18"/>
          <w:szCs w:val="18"/>
          <w:vertAlign w:val="superscript"/>
          <w:lang w:bidi="ar-QA"/>
        </w:rPr>
        <w:t>th</w:t>
      </w:r>
      <w:r w:rsidR="00CF5897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floor</w:t>
      </w:r>
      <w:r w:rsidR="00E62291">
        <w:rPr>
          <w:rFonts w:ascii="Arial" w:hAnsi="Arial" w:cs="Arial"/>
          <w:b/>
          <w:bCs/>
          <w:sz w:val="18"/>
          <w:szCs w:val="18"/>
          <w:lang w:bidi="ar-QA"/>
        </w:rPr>
        <w:t xml:space="preserve">, unit 80 </w:t>
      </w:r>
      <w:proofErr w:type="gramStart"/>
      <w:r w:rsidR="00E62291">
        <w:rPr>
          <w:rFonts w:ascii="Arial" w:hAnsi="Arial" w:cs="Arial"/>
          <w:b/>
          <w:bCs/>
          <w:sz w:val="18"/>
          <w:szCs w:val="18"/>
          <w:lang w:bidi="ar-QA"/>
        </w:rPr>
        <w:t>( Mr.</w:t>
      </w:r>
      <w:proofErr w:type="gramEnd"/>
      <w:r w:rsidR="00E62291">
        <w:rPr>
          <w:rFonts w:ascii="Arial" w:hAnsi="Arial" w:cs="Arial"/>
          <w:b/>
          <w:bCs/>
          <w:sz w:val="18"/>
          <w:szCs w:val="18"/>
          <w:lang w:bidi="ar-QA"/>
        </w:rPr>
        <w:t xml:space="preserve"> Omar Al </w:t>
      </w:r>
      <w:proofErr w:type="spellStart"/>
      <w:r w:rsidR="00E62291">
        <w:rPr>
          <w:rFonts w:ascii="Arial" w:hAnsi="Arial" w:cs="Arial"/>
          <w:b/>
          <w:bCs/>
          <w:sz w:val="18"/>
          <w:szCs w:val="18"/>
          <w:lang w:bidi="ar-QA"/>
        </w:rPr>
        <w:t>maraghi</w:t>
      </w:r>
      <w:proofErr w:type="spellEnd"/>
      <w:r w:rsidR="00E62291">
        <w:rPr>
          <w:rFonts w:ascii="Arial" w:hAnsi="Arial" w:cs="Arial"/>
          <w:b/>
          <w:bCs/>
          <w:sz w:val="18"/>
          <w:szCs w:val="18"/>
          <w:lang w:bidi="ar-QA"/>
        </w:rPr>
        <w:t>)</w:t>
      </w:r>
      <w:r w:rsidR="00CF5897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The proposal must be directed 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>to the</w:t>
      </w:r>
      <w:r w:rsidR="00CF5897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Head of the tender Committee. The number of the tender must be mentioned as well as the subject and 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it </w:t>
      </w:r>
      <w:r w:rsidR="00CF5897"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should be register by the secretary of the tender committee </w:t>
      </w:r>
      <w:r w:rsidR="007359C8">
        <w:rPr>
          <w:rFonts w:ascii="Arial" w:hAnsi="Arial" w:cs="Arial"/>
          <w:b/>
          <w:bCs/>
          <w:sz w:val="18"/>
          <w:szCs w:val="18"/>
          <w:lang w:bidi="ar-QA"/>
        </w:rPr>
        <w:t>which should</w:t>
      </w:r>
      <w:r w:rsidRPr="00BA450B">
        <w:rPr>
          <w:rFonts w:ascii="Arial" w:hAnsi="Arial" w:cs="Arial"/>
          <w:b/>
          <w:bCs/>
          <w:sz w:val="18"/>
          <w:szCs w:val="18"/>
          <w:lang w:bidi="ar-QA"/>
        </w:rPr>
        <w:t xml:space="preserve"> be before </w:t>
      </w:r>
      <w:r w:rsidR="00CF5897" w:rsidRPr="00BA450B">
        <w:rPr>
          <w:rFonts w:ascii="Arial" w:hAnsi="Arial" w:cs="Arial"/>
          <w:b/>
          <w:bCs/>
          <w:sz w:val="18"/>
          <w:szCs w:val="18"/>
          <w:lang w:bidi="ar-QA"/>
        </w:rPr>
        <w:t>12</w:t>
      </w:r>
      <w:r w:rsidR="00FF3EC4">
        <w:rPr>
          <w:rFonts w:ascii="Arial" w:hAnsi="Arial" w:cs="Arial"/>
          <w:b/>
          <w:bCs/>
          <w:sz w:val="18"/>
          <w:szCs w:val="18"/>
          <w:lang w:bidi="ar-QA"/>
        </w:rPr>
        <w:t>:30</w:t>
      </w:r>
      <w:r w:rsidR="00CF5897" w:rsidRPr="00BA450B">
        <w:rPr>
          <w:rFonts w:ascii="Arial" w:hAnsi="Arial" w:cs="Arial"/>
          <w:b/>
          <w:bCs/>
          <w:sz w:val="18"/>
          <w:szCs w:val="18"/>
          <w:lang w:bidi="ar-QA"/>
        </w:rPr>
        <w:t>PM, Doha timing from the closing date.</w:t>
      </w:r>
    </w:p>
    <w:p w14:paraId="3111C53F" w14:textId="77777777" w:rsidR="00BA450B" w:rsidRPr="00BA450B" w:rsidRDefault="00BA450B" w:rsidP="00BA450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bidi="ar-QA"/>
        </w:rPr>
      </w:pPr>
      <w:r w:rsidRPr="00BA450B">
        <w:rPr>
          <w:rFonts w:ascii="Arial" w:hAnsi="Arial" w:cs="Arial"/>
          <w:b/>
          <w:bCs/>
          <w:sz w:val="18"/>
          <w:szCs w:val="18"/>
          <w:lang w:bidi="ar-QA"/>
        </w:rPr>
        <w:t>Quotations must be in Qatari riyals.</w:t>
      </w:r>
    </w:p>
    <w:p w14:paraId="11C8D9EE" w14:textId="77777777" w:rsidR="00BA450B" w:rsidRPr="00BA450B" w:rsidRDefault="00BA450B" w:rsidP="00BA450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bidi="ar-QA"/>
        </w:rPr>
      </w:pPr>
      <w:r w:rsidRPr="00BA450B">
        <w:rPr>
          <w:rFonts w:ascii="Arial" w:hAnsi="Arial" w:cs="Arial"/>
          <w:b/>
          <w:bCs/>
          <w:sz w:val="18"/>
          <w:szCs w:val="18"/>
          <w:lang w:bidi="ar-QA"/>
        </w:rPr>
        <w:t>The proposal must include fixed prices.</w:t>
      </w:r>
    </w:p>
    <w:p w14:paraId="615D4358" w14:textId="77777777" w:rsidR="00BA450B" w:rsidRDefault="00BA450B" w:rsidP="00BA450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bidi="ar-QA"/>
        </w:rPr>
      </w:pPr>
      <w:r w:rsidRPr="00BA450B">
        <w:rPr>
          <w:rFonts w:ascii="Arial" w:hAnsi="Arial" w:cs="Arial"/>
          <w:b/>
          <w:bCs/>
          <w:sz w:val="18"/>
          <w:szCs w:val="18"/>
          <w:lang w:bidi="ar-QA"/>
        </w:rPr>
        <w:t>No modification is allowed after closing dates. If the participants wish to withdraw, the performance bond will not be reimbursed.</w:t>
      </w:r>
    </w:p>
    <w:p w14:paraId="51ED7689" w14:textId="7E8F8AF3" w:rsidR="007E79E9" w:rsidRPr="00BA450B" w:rsidRDefault="007E79E9" w:rsidP="00BA450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rtl/>
          <w:lang w:bidi="ar-QA"/>
        </w:rPr>
      </w:pPr>
      <w:r>
        <w:rPr>
          <w:rFonts w:ascii="Arial" w:hAnsi="Arial" w:cs="Arial"/>
          <w:b/>
          <w:bCs/>
          <w:sz w:val="18"/>
          <w:szCs w:val="18"/>
          <w:lang w:bidi="ar-QA"/>
        </w:rPr>
        <w:t>Proposals must be submitted in on</w:t>
      </w:r>
      <w:r w:rsidR="00F86686">
        <w:rPr>
          <w:rFonts w:ascii="Arial" w:hAnsi="Arial" w:cs="Arial"/>
          <w:b/>
          <w:bCs/>
          <w:sz w:val="18"/>
          <w:szCs w:val="18"/>
          <w:lang w:bidi="ar-QA"/>
        </w:rPr>
        <w:t>e</w:t>
      </w:r>
      <w:r>
        <w:rPr>
          <w:rFonts w:ascii="Arial" w:hAnsi="Arial" w:cs="Arial"/>
          <w:b/>
          <w:bCs/>
          <w:sz w:val="18"/>
          <w:szCs w:val="18"/>
          <w:lang w:bidi="ar-QA"/>
        </w:rPr>
        <w:t xml:space="preserve"> original and </w:t>
      </w:r>
      <w:r w:rsidR="002016E0">
        <w:rPr>
          <w:rFonts w:ascii="Arial" w:hAnsi="Arial" w:cs="Arial"/>
          <w:b/>
          <w:bCs/>
          <w:sz w:val="18"/>
          <w:szCs w:val="18"/>
          <w:lang w:bidi="ar-QA"/>
        </w:rPr>
        <w:t>two</w:t>
      </w:r>
      <w:r>
        <w:rPr>
          <w:rFonts w:ascii="Arial" w:hAnsi="Arial" w:cs="Arial"/>
          <w:b/>
          <w:bCs/>
          <w:sz w:val="18"/>
          <w:szCs w:val="18"/>
          <w:lang w:bidi="ar-QA"/>
        </w:rPr>
        <w:t xml:space="preserve"> cop</w:t>
      </w:r>
      <w:r w:rsidR="002016E0">
        <w:rPr>
          <w:rFonts w:ascii="Arial" w:hAnsi="Arial" w:cs="Arial"/>
          <w:b/>
          <w:bCs/>
          <w:sz w:val="18"/>
          <w:szCs w:val="18"/>
          <w:lang w:bidi="ar-QA"/>
        </w:rPr>
        <w:t>ies along with a copy of the tender bond.</w:t>
      </w:r>
    </w:p>
    <w:p w14:paraId="1DE9515E" w14:textId="77777777" w:rsidR="00BA450B" w:rsidRPr="000D1C4A" w:rsidRDefault="00BA450B" w:rsidP="000D1C4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lang w:bidi="ar-QA"/>
        </w:rPr>
      </w:pPr>
      <w:r w:rsidRPr="00BA450B">
        <w:rPr>
          <w:rFonts w:ascii="Arial" w:hAnsi="Arial" w:cs="Arial"/>
          <w:b/>
          <w:bCs/>
          <w:sz w:val="18"/>
          <w:szCs w:val="18"/>
          <w:lang w:bidi="ar-QA"/>
        </w:rPr>
        <w:t>Any proposal can be rejected if the participant is not willing to adhere to the conditions</w:t>
      </w:r>
      <w:r w:rsidR="000D1C4A">
        <w:rPr>
          <w:rFonts w:ascii="Arial" w:hAnsi="Arial" w:cs="Arial"/>
          <w:b/>
          <w:bCs/>
          <w:sz w:val="18"/>
          <w:szCs w:val="18"/>
          <w:lang w:bidi="ar-QA"/>
        </w:rPr>
        <w:t>, k</w:t>
      </w:r>
      <w:r w:rsidR="00E40F4A" w:rsidRPr="000D1C4A">
        <w:rPr>
          <w:rFonts w:ascii="Arial" w:hAnsi="Arial" w:cs="Arial"/>
          <w:b/>
          <w:bCs/>
          <w:sz w:val="18"/>
          <w:szCs w:val="18"/>
          <w:lang w:bidi="ar-QA"/>
        </w:rPr>
        <w:t xml:space="preserve">indly </w:t>
      </w:r>
      <w:r w:rsidR="00041D2E" w:rsidRPr="000D1C4A">
        <w:rPr>
          <w:rFonts w:ascii="Arial" w:hAnsi="Arial" w:cs="Arial"/>
          <w:b/>
          <w:bCs/>
          <w:sz w:val="18"/>
          <w:szCs w:val="18"/>
          <w:lang w:bidi="ar-QA"/>
        </w:rPr>
        <w:t xml:space="preserve">submit the technical proposal and the financial proposal in separate </w:t>
      </w:r>
      <w:r w:rsidR="00886BAD" w:rsidRPr="000D1C4A">
        <w:rPr>
          <w:rFonts w:ascii="Arial" w:hAnsi="Arial" w:cs="Arial"/>
          <w:b/>
          <w:bCs/>
          <w:sz w:val="18"/>
          <w:szCs w:val="18"/>
          <w:lang w:bidi="ar-QA"/>
        </w:rPr>
        <w:t xml:space="preserve">envelopes. </w:t>
      </w:r>
      <w:r w:rsidR="00F935F6" w:rsidRPr="000D1C4A">
        <w:rPr>
          <w:b/>
          <w:bCs/>
          <w:u w:val="single"/>
        </w:rPr>
        <w:t>Any proposal that does not include the 2</w:t>
      </w:r>
      <w:r w:rsidR="00F935F6" w:rsidRPr="00F935F6">
        <w:t xml:space="preserve"> </w:t>
      </w:r>
      <w:r w:rsidR="00F935F6" w:rsidRPr="000D1C4A">
        <w:rPr>
          <w:b/>
          <w:bCs/>
          <w:u w:val="single"/>
        </w:rPr>
        <w:t>envelopes as indicated in the policy won’t be accepted.</w:t>
      </w:r>
    </w:p>
    <w:p w14:paraId="1E81B273" w14:textId="0E7B9035" w:rsidR="00FB7DD7" w:rsidRPr="00AA0681" w:rsidRDefault="00BA450B" w:rsidP="00AA068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  <w:rtl/>
          <w:lang w:bidi="ar-QA"/>
        </w:rPr>
      </w:pPr>
      <w:r w:rsidRPr="00886BAD">
        <w:rPr>
          <w:rFonts w:ascii="Arial" w:hAnsi="Arial" w:cs="Arial"/>
          <w:b/>
          <w:bCs/>
          <w:sz w:val="18"/>
          <w:szCs w:val="18"/>
          <w:lang w:bidi="ar-QA"/>
        </w:rPr>
        <w:t xml:space="preserve">For any additional information please don’t hesitate to contact us </w:t>
      </w:r>
      <w:r w:rsidR="00162A29" w:rsidRPr="00886BAD">
        <w:rPr>
          <w:rFonts w:ascii="Arial" w:hAnsi="Arial" w:cs="Arial"/>
          <w:b/>
          <w:bCs/>
          <w:sz w:val="18"/>
          <w:szCs w:val="18"/>
          <w:lang w:bidi="ar-QA"/>
        </w:rPr>
        <w:t>by phone</w:t>
      </w:r>
      <w:r w:rsidRPr="00886BAD">
        <w:rPr>
          <w:rFonts w:ascii="Arial" w:hAnsi="Arial" w:cs="Arial"/>
          <w:b/>
          <w:bCs/>
          <w:sz w:val="18"/>
          <w:szCs w:val="18"/>
          <w:lang w:bidi="ar-QA"/>
        </w:rPr>
        <w:t xml:space="preserve">: </w:t>
      </w:r>
      <w:r w:rsidR="004D2AA3" w:rsidRPr="00886BAD">
        <w:rPr>
          <w:rFonts w:ascii="Arial" w:hAnsi="Arial" w:cs="Arial"/>
          <w:b/>
          <w:bCs/>
          <w:sz w:val="18"/>
          <w:szCs w:val="18"/>
          <w:lang w:bidi="ar-QA"/>
        </w:rPr>
        <w:t>(</w:t>
      </w:r>
      <w:r w:rsidR="00FA4E7D" w:rsidRPr="00886BAD">
        <w:rPr>
          <w:rFonts w:ascii="Arial" w:hAnsi="Arial" w:cs="Arial"/>
          <w:b/>
          <w:bCs/>
          <w:sz w:val="18"/>
          <w:szCs w:val="18"/>
          <w:lang w:bidi="ar-QA"/>
        </w:rPr>
        <w:t>447540</w:t>
      </w:r>
      <w:r w:rsidR="00162A29" w:rsidRPr="00886BAD">
        <w:rPr>
          <w:rFonts w:ascii="Arial" w:hAnsi="Arial" w:cs="Arial"/>
          <w:b/>
          <w:bCs/>
          <w:sz w:val="18"/>
          <w:szCs w:val="18"/>
          <w:lang w:bidi="ar-QA"/>
        </w:rPr>
        <w:t>11</w:t>
      </w:r>
      <w:r w:rsidR="004D2AA3" w:rsidRPr="00886BAD">
        <w:rPr>
          <w:rFonts w:ascii="Arial" w:hAnsi="Arial" w:cs="Arial"/>
          <w:b/>
          <w:bCs/>
          <w:sz w:val="18"/>
          <w:szCs w:val="18"/>
          <w:lang w:bidi="ar-QA"/>
        </w:rPr>
        <w:t>)</w:t>
      </w:r>
      <w:r w:rsidRPr="00886BAD">
        <w:rPr>
          <w:rFonts w:ascii="Arial" w:hAnsi="Arial" w:cs="Arial"/>
          <w:b/>
          <w:bCs/>
          <w:sz w:val="18"/>
          <w:szCs w:val="18"/>
          <w:lang w:bidi="ar-QA"/>
        </w:rPr>
        <w:t xml:space="preserve"> or by </w:t>
      </w:r>
      <w:proofErr w:type="gramStart"/>
      <w:r w:rsidRPr="00886BAD">
        <w:rPr>
          <w:rFonts w:ascii="Arial" w:hAnsi="Arial" w:cs="Arial"/>
          <w:b/>
          <w:bCs/>
          <w:sz w:val="18"/>
          <w:szCs w:val="18"/>
          <w:lang w:bidi="ar-QA"/>
        </w:rPr>
        <w:t>( fax</w:t>
      </w:r>
      <w:proofErr w:type="gramEnd"/>
      <w:r w:rsidRPr="00886BAD">
        <w:rPr>
          <w:rFonts w:ascii="Arial" w:hAnsi="Arial" w:cs="Arial"/>
          <w:b/>
          <w:bCs/>
          <w:sz w:val="18"/>
          <w:szCs w:val="18"/>
          <w:lang w:bidi="ar-QA"/>
        </w:rPr>
        <w:t xml:space="preserve">) </w:t>
      </w:r>
      <w:r w:rsidR="004D2AA3" w:rsidRPr="00886BAD">
        <w:rPr>
          <w:rFonts w:ascii="Arial" w:hAnsi="Arial" w:cs="Arial"/>
          <w:b/>
          <w:bCs/>
          <w:sz w:val="18"/>
          <w:szCs w:val="18"/>
          <w:lang w:bidi="ar-QA"/>
        </w:rPr>
        <w:t>(</w:t>
      </w:r>
      <w:r w:rsidR="00FA4E7D" w:rsidRPr="00886BAD">
        <w:rPr>
          <w:rFonts w:ascii="Arial" w:hAnsi="Arial" w:cs="Arial"/>
          <w:b/>
          <w:bCs/>
          <w:sz w:val="18"/>
          <w:szCs w:val="18"/>
          <w:lang w:bidi="ar-QA"/>
        </w:rPr>
        <w:t>44754041</w:t>
      </w:r>
      <w:r w:rsidR="004D2AA3" w:rsidRPr="00886BAD">
        <w:rPr>
          <w:rFonts w:ascii="Arial" w:hAnsi="Arial" w:cs="Arial"/>
          <w:b/>
          <w:bCs/>
          <w:sz w:val="18"/>
          <w:szCs w:val="18"/>
          <w:lang w:bidi="ar-QA"/>
        </w:rPr>
        <w:t>)</w:t>
      </w:r>
      <w:r w:rsidR="00AA0681">
        <w:rPr>
          <w:rFonts w:ascii="Arial" w:hAnsi="Arial" w:cs="Arial"/>
          <w:b/>
          <w:bCs/>
          <w:sz w:val="18"/>
          <w:szCs w:val="18"/>
          <w:lang w:bidi="ar-QA"/>
        </w:rPr>
        <w:t xml:space="preserve"> or by email (oalmaraghi@qsl.com.qa).</w:t>
      </w:r>
    </w:p>
    <w:sectPr w:rsidR="00FB7DD7" w:rsidRPr="00AA0681" w:rsidSect="00B41316">
      <w:pgSz w:w="15840" w:h="12240" w:orient="landscape"/>
      <w:pgMar w:top="1440" w:right="1440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E86C8" w14:textId="77777777" w:rsidR="00CD4E33" w:rsidRDefault="00CD4E33" w:rsidP="00C55153">
      <w:pPr>
        <w:spacing w:after="0" w:line="240" w:lineRule="auto"/>
      </w:pPr>
      <w:r>
        <w:separator/>
      </w:r>
    </w:p>
  </w:endnote>
  <w:endnote w:type="continuationSeparator" w:id="0">
    <w:p w14:paraId="17441224" w14:textId="77777777" w:rsidR="00CD4E33" w:rsidRDefault="00CD4E33" w:rsidP="00C5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Ase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270C" w14:textId="77777777" w:rsidR="00CD4E33" w:rsidRDefault="00CD4E33" w:rsidP="00C55153">
      <w:pPr>
        <w:spacing w:after="0" w:line="240" w:lineRule="auto"/>
      </w:pPr>
      <w:r>
        <w:separator/>
      </w:r>
    </w:p>
  </w:footnote>
  <w:footnote w:type="continuationSeparator" w:id="0">
    <w:p w14:paraId="53C53ACB" w14:textId="77777777" w:rsidR="00CD4E33" w:rsidRDefault="00CD4E33" w:rsidP="00C55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17D1C"/>
    <w:multiLevelType w:val="hybridMultilevel"/>
    <w:tmpl w:val="EAB01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DC556B"/>
    <w:multiLevelType w:val="hybridMultilevel"/>
    <w:tmpl w:val="ED38066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7F3F754A"/>
    <w:multiLevelType w:val="hybridMultilevel"/>
    <w:tmpl w:val="B88EA856"/>
    <w:lvl w:ilvl="0" w:tplc="0409000F">
      <w:start w:val="1"/>
      <w:numFmt w:val="decimal"/>
      <w:lvlText w:val="%1."/>
      <w:lvlJc w:val="left"/>
      <w:pPr>
        <w:ind w:left="4740" w:hanging="360"/>
      </w:pPr>
    </w:lvl>
    <w:lvl w:ilvl="1" w:tplc="04090019" w:tentative="1">
      <w:start w:val="1"/>
      <w:numFmt w:val="lowerLetter"/>
      <w:lvlText w:val="%2."/>
      <w:lvlJc w:val="left"/>
      <w:pPr>
        <w:ind w:left="5460" w:hanging="360"/>
      </w:pPr>
    </w:lvl>
    <w:lvl w:ilvl="2" w:tplc="0409001B" w:tentative="1">
      <w:start w:val="1"/>
      <w:numFmt w:val="lowerRoman"/>
      <w:lvlText w:val="%3."/>
      <w:lvlJc w:val="right"/>
      <w:pPr>
        <w:ind w:left="6180" w:hanging="180"/>
      </w:pPr>
    </w:lvl>
    <w:lvl w:ilvl="3" w:tplc="0409000F" w:tentative="1">
      <w:start w:val="1"/>
      <w:numFmt w:val="decimal"/>
      <w:lvlText w:val="%4."/>
      <w:lvlJc w:val="left"/>
      <w:pPr>
        <w:ind w:left="6900" w:hanging="360"/>
      </w:pPr>
    </w:lvl>
    <w:lvl w:ilvl="4" w:tplc="04090019" w:tentative="1">
      <w:start w:val="1"/>
      <w:numFmt w:val="lowerLetter"/>
      <w:lvlText w:val="%5."/>
      <w:lvlJc w:val="left"/>
      <w:pPr>
        <w:ind w:left="7620" w:hanging="360"/>
      </w:pPr>
    </w:lvl>
    <w:lvl w:ilvl="5" w:tplc="0409001B" w:tentative="1">
      <w:start w:val="1"/>
      <w:numFmt w:val="lowerRoman"/>
      <w:lvlText w:val="%6."/>
      <w:lvlJc w:val="right"/>
      <w:pPr>
        <w:ind w:left="8340" w:hanging="180"/>
      </w:pPr>
    </w:lvl>
    <w:lvl w:ilvl="6" w:tplc="0409000F" w:tentative="1">
      <w:start w:val="1"/>
      <w:numFmt w:val="decimal"/>
      <w:lvlText w:val="%7."/>
      <w:lvlJc w:val="left"/>
      <w:pPr>
        <w:ind w:left="9060" w:hanging="360"/>
      </w:pPr>
    </w:lvl>
    <w:lvl w:ilvl="7" w:tplc="04090019" w:tentative="1">
      <w:start w:val="1"/>
      <w:numFmt w:val="lowerLetter"/>
      <w:lvlText w:val="%8."/>
      <w:lvlJc w:val="left"/>
      <w:pPr>
        <w:ind w:left="9780" w:hanging="360"/>
      </w:pPr>
    </w:lvl>
    <w:lvl w:ilvl="8" w:tplc="0409001B" w:tentative="1">
      <w:start w:val="1"/>
      <w:numFmt w:val="lowerRoman"/>
      <w:lvlText w:val="%9."/>
      <w:lvlJc w:val="right"/>
      <w:pPr>
        <w:ind w:left="10500" w:hanging="180"/>
      </w:pPr>
    </w:lvl>
  </w:abstractNum>
  <w:num w:numId="1" w16cid:durableId="1633250177">
    <w:abstractNumId w:val="0"/>
  </w:num>
  <w:num w:numId="2" w16cid:durableId="1432899833">
    <w:abstractNumId w:val="1"/>
  </w:num>
  <w:num w:numId="3" w16cid:durableId="1148084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8B"/>
    <w:rsid w:val="00007138"/>
    <w:rsid w:val="00021965"/>
    <w:rsid w:val="00034C9F"/>
    <w:rsid w:val="00041D2E"/>
    <w:rsid w:val="00056A04"/>
    <w:rsid w:val="00070E5C"/>
    <w:rsid w:val="00073F2A"/>
    <w:rsid w:val="0007513E"/>
    <w:rsid w:val="00083CE9"/>
    <w:rsid w:val="000927CD"/>
    <w:rsid w:val="000B2FB2"/>
    <w:rsid w:val="000C1184"/>
    <w:rsid w:val="000D1C4A"/>
    <w:rsid w:val="000D79B2"/>
    <w:rsid w:val="000E1880"/>
    <w:rsid w:val="000F5DA0"/>
    <w:rsid w:val="001131C0"/>
    <w:rsid w:val="00115128"/>
    <w:rsid w:val="00130D5D"/>
    <w:rsid w:val="00134742"/>
    <w:rsid w:val="00145324"/>
    <w:rsid w:val="00162A29"/>
    <w:rsid w:val="001B1CD3"/>
    <w:rsid w:val="001B3D20"/>
    <w:rsid w:val="001D6771"/>
    <w:rsid w:val="001E1B30"/>
    <w:rsid w:val="001E6384"/>
    <w:rsid w:val="001F60AA"/>
    <w:rsid w:val="002016E0"/>
    <w:rsid w:val="002216CC"/>
    <w:rsid w:val="00227BFF"/>
    <w:rsid w:val="00230C91"/>
    <w:rsid w:val="0024555B"/>
    <w:rsid w:val="00257ACB"/>
    <w:rsid w:val="0026520C"/>
    <w:rsid w:val="00290C64"/>
    <w:rsid w:val="00291CB4"/>
    <w:rsid w:val="002E254E"/>
    <w:rsid w:val="00304573"/>
    <w:rsid w:val="00305A28"/>
    <w:rsid w:val="00313766"/>
    <w:rsid w:val="00316B54"/>
    <w:rsid w:val="00320A9E"/>
    <w:rsid w:val="0032683B"/>
    <w:rsid w:val="003300BF"/>
    <w:rsid w:val="003627B8"/>
    <w:rsid w:val="003754AA"/>
    <w:rsid w:val="003872B8"/>
    <w:rsid w:val="003A1F03"/>
    <w:rsid w:val="003B2D4E"/>
    <w:rsid w:val="003C1AE5"/>
    <w:rsid w:val="003F007E"/>
    <w:rsid w:val="003F0B43"/>
    <w:rsid w:val="003F64A8"/>
    <w:rsid w:val="003F7520"/>
    <w:rsid w:val="0040356B"/>
    <w:rsid w:val="00411E97"/>
    <w:rsid w:val="00451A45"/>
    <w:rsid w:val="00453D3A"/>
    <w:rsid w:val="004546B0"/>
    <w:rsid w:val="0048373E"/>
    <w:rsid w:val="00486620"/>
    <w:rsid w:val="004D2AA3"/>
    <w:rsid w:val="004D65E3"/>
    <w:rsid w:val="004E1777"/>
    <w:rsid w:val="004E7C50"/>
    <w:rsid w:val="004F1AB6"/>
    <w:rsid w:val="00507655"/>
    <w:rsid w:val="005113AB"/>
    <w:rsid w:val="005160F2"/>
    <w:rsid w:val="00534CDF"/>
    <w:rsid w:val="00560FF3"/>
    <w:rsid w:val="0056319E"/>
    <w:rsid w:val="00565F53"/>
    <w:rsid w:val="00572C17"/>
    <w:rsid w:val="00594385"/>
    <w:rsid w:val="005A13D3"/>
    <w:rsid w:val="005B4829"/>
    <w:rsid w:val="005C539C"/>
    <w:rsid w:val="005E666B"/>
    <w:rsid w:val="00625D2C"/>
    <w:rsid w:val="00635932"/>
    <w:rsid w:val="00643F34"/>
    <w:rsid w:val="00666E36"/>
    <w:rsid w:val="006724AB"/>
    <w:rsid w:val="00690842"/>
    <w:rsid w:val="006B07DB"/>
    <w:rsid w:val="006B3E89"/>
    <w:rsid w:val="006B3FA2"/>
    <w:rsid w:val="006B70A9"/>
    <w:rsid w:val="006D631D"/>
    <w:rsid w:val="006D7E2F"/>
    <w:rsid w:val="006E0836"/>
    <w:rsid w:val="006E42C0"/>
    <w:rsid w:val="006F3904"/>
    <w:rsid w:val="00701A85"/>
    <w:rsid w:val="00706F10"/>
    <w:rsid w:val="007359C8"/>
    <w:rsid w:val="007708EC"/>
    <w:rsid w:val="00775077"/>
    <w:rsid w:val="00796FCC"/>
    <w:rsid w:val="007A69BF"/>
    <w:rsid w:val="007B5064"/>
    <w:rsid w:val="007D29B2"/>
    <w:rsid w:val="007E79E9"/>
    <w:rsid w:val="007F277F"/>
    <w:rsid w:val="008010E1"/>
    <w:rsid w:val="00814C01"/>
    <w:rsid w:val="008275D2"/>
    <w:rsid w:val="0082786B"/>
    <w:rsid w:val="00873AA0"/>
    <w:rsid w:val="00883F2D"/>
    <w:rsid w:val="00886BAD"/>
    <w:rsid w:val="008B7525"/>
    <w:rsid w:val="008F2F5F"/>
    <w:rsid w:val="009000FE"/>
    <w:rsid w:val="00910DBE"/>
    <w:rsid w:val="00950B98"/>
    <w:rsid w:val="009655E1"/>
    <w:rsid w:val="00971270"/>
    <w:rsid w:val="00987653"/>
    <w:rsid w:val="009A3631"/>
    <w:rsid w:val="009B0BC1"/>
    <w:rsid w:val="009E253C"/>
    <w:rsid w:val="009E2B01"/>
    <w:rsid w:val="009F2C5B"/>
    <w:rsid w:val="009F57FD"/>
    <w:rsid w:val="00A026B2"/>
    <w:rsid w:val="00A05820"/>
    <w:rsid w:val="00A1370A"/>
    <w:rsid w:val="00A35C46"/>
    <w:rsid w:val="00A455D4"/>
    <w:rsid w:val="00A934DC"/>
    <w:rsid w:val="00AA0681"/>
    <w:rsid w:val="00AA128B"/>
    <w:rsid w:val="00AB5D4C"/>
    <w:rsid w:val="00AC0A6F"/>
    <w:rsid w:val="00AD285C"/>
    <w:rsid w:val="00AD46E9"/>
    <w:rsid w:val="00AD6F8F"/>
    <w:rsid w:val="00AE49C3"/>
    <w:rsid w:val="00AF1770"/>
    <w:rsid w:val="00B1022B"/>
    <w:rsid w:val="00B41316"/>
    <w:rsid w:val="00B45042"/>
    <w:rsid w:val="00B46707"/>
    <w:rsid w:val="00B66889"/>
    <w:rsid w:val="00B67615"/>
    <w:rsid w:val="00B727F9"/>
    <w:rsid w:val="00B73568"/>
    <w:rsid w:val="00B81F5B"/>
    <w:rsid w:val="00B96488"/>
    <w:rsid w:val="00BA450B"/>
    <w:rsid w:val="00BB6913"/>
    <w:rsid w:val="00BC6975"/>
    <w:rsid w:val="00BE00D6"/>
    <w:rsid w:val="00BF436D"/>
    <w:rsid w:val="00C02CF2"/>
    <w:rsid w:val="00C0309C"/>
    <w:rsid w:val="00C105A2"/>
    <w:rsid w:val="00C13B0D"/>
    <w:rsid w:val="00C42CAC"/>
    <w:rsid w:val="00C50FD1"/>
    <w:rsid w:val="00C55153"/>
    <w:rsid w:val="00C5784E"/>
    <w:rsid w:val="00C81B3A"/>
    <w:rsid w:val="00CB364B"/>
    <w:rsid w:val="00CC033E"/>
    <w:rsid w:val="00CC1E6D"/>
    <w:rsid w:val="00CC41D3"/>
    <w:rsid w:val="00CD0E32"/>
    <w:rsid w:val="00CD29B9"/>
    <w:rsid w:val="00CD4E33"/>
    <w:rsid w:val="00CF4606"/>
    <w:rsid w:val="00CF5897"/>
    <w:rsid w:val="00D21B00"/>
    <w:rsid w:val="00D31802"/>
    <w:rsid w:val="00D3299B"/>
    <w:rsid w:val="00D633D9"/>
    <w:rsid w:val="00D65C13"/>
    <w:rsid w:val="00D75400"/>
    <w:rsid w:val="00DA18A9"/>
    <w:rsid w:val="00DA7783"/>
    <w:rsid w:val="00DD72B0"/>
    <w:rsid w:val="00DF46CE"/>
    <w:rsid w:val="00DF6266"/>
    <w:rsid w:val="00E0429D"/>
    <w:rsid w:val="00E0733D"/>
    <w:rsid w:val="00E172D2"/>
    <w:rsid w:val="00E23E75"/>
    <w:rsid w:val="00E25A84"/>
    <w:rsid w:val="00E40F4A"/>
    <w:rsid w:val="00E51DF8"/>
    <w:rsid w:val="00E62291"/>
    <w:rsid w:val="00E66E38"/>
    <w:rsid w:val="00E761A1"/>
    <w:rsid w:val="00E813AC"/>
    <w:rsid w:val="00EA0B9C"/>
    <w:rsid w:val="00EC2C16"/>
    <w:rsid w:val="00EC641D"/>
    <w:rsid w:val="00EE6791"/>
    <w:rsid w:val="00EE6A48"/>
    <w:rsid w:val="00F45D95"/>
    <w:rsid w:val="00F47D87"/>
    <w:rsid w:val="00F528A2"/>
    <w:rsid w:val="00F862C7"/>
    <w:rsid w:val="00F86686"/>
    <w:rsid w:val="00F935F6"/>
    <w:rsid w:val="00F95F60"/>
    <w:rsid w:val="00FA4E7D"/>
    <w:rsid w:val="00FB7DD7"/>
    <w:rsid w:val="00FC25B8"/>
    <w:rsid w:val="00FD3F98"/>
    <w:rsid w:val="00FE508E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4347AB"/>
  <w15:docId w15:val="{8F83AD16-9213-493F-9040-5642E6B4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35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B2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EA0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76DC-C851-408F-A22B-FB691DFA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oabdulla</dc:creator>
  <cp:lastModifiedBy>Omar AL-Maraghi</cp:lastModifiedBy>
  <cp:revision>25</cp:revision>
  <cp:lastPrinted>2024-10-02T06:55:00Z</cp:lastPrinted>
  <dcterms:created xsi:type="dcterms:W3CDTF">2019-03-21T09:00:00Z</dcterms:created>
  <dcterms:modified xsi:type="dcterms:W3CDTF">2024-10-02T06:55:00Z</dcterms:modified>
</cp:coreProperties>
</file>